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D5" w:rsidRDefault="00C12AD5">
      <w:pPr>
        <w:rPr>
          <w:rFonts w:ascii="Times New Roman" w:hAnsi="Times New Roman" w:cs="Times New Roman"/>
          <w:sz w:val="24"/>
          <w:szCs w:val="24"/>
        </w:rPr>
      </w:pPr>
    </w:p>
    <w:p w:rsidR="00C12AD5" w:rsidRDefault="00C12AD5">
      <w:pPr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 w:rsidR="00C12AD5" w:rsidRDefault="00C12AD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МКОУ «СОШ №11»</w:t>
      </w:r>
    </w:p>
    <w:p w:rsidR="00C12AD5" w:rsidRDefault="00C12AD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________А.Ш.Шахамирова</w:t>
      </w:r>
    </w:p>
    <w:p w:rsidR="00C12AD5" w:rsidRDefault="00C12A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AD5" w:rsidRDefault="00C12A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 xml:space="preserve">План работы школьного методического объединения 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>учителей химии, биологии, географии.</w:t>
      </w:r>
    </w:p>
    <w:p w:rsidR="00C12AD5" w:rsidRDefault="00C12AD5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  <w:u w:val="single"/>
        </w:rPr>
        <w:t>на 2019-2020 уч. год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2060"/>
          <w:sz w:val="40"/>
          <w:szCs w:val="40"/>
        </w:rPr>
        <w:t>Методическая тема</w:t>
      </w:r>
    </w:p>
    <w:p w:rsidR="00C12AD5" w:rsidRDefault="00C12AD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Style w:val="Strong"/>
          <w:rFonts w:ascii="Times New Roman" w:hAnsi="Times New Roman" w:cs="Times New Roman"/>
          <w:color w:val="C00000"/>
          <w:sz w:val="36"/>
          <w:szCs w:val="36"/>
        </w:rPr>
        <w:t>«Организация образовательного процесса через использование современных технологий в условиях реализации федеральных государственных образовательных стандартов»</w:t>
      </w:r>
      <w:r>
        <w:rPr>
          <w:rStyle w:val="Strong"/>
          <w:rFonts w:ascii="Times New Roman" w:hAnsi="Times New Roman" w:cs="Times New Roman"/>
          <w:color w:val="C00000"/>
          <w:sz w:val="36"/>
          <w:szCs w:val="36"/>
        </w:rPr>
        <w:br/>
      </w:r>
    </w:p>
    <w:p w:rsidR="00C12AD5" w:rsidRDefault="00C12AD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12AD5" w:rsidRDefault="00C12AD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12AD5" w:rsidRDefault="00C12AD5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C12AD5" w:rsidRDefault="00C12A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2AD5" w:rsidRDefault="00C12AD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Руководитель ШМО:</w:t>
      </w:r>
    </w:p>
    <w:p w:rsidR="00C12AD5" w:rsidRDefault="00C12AD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учитель географии</w:t>
      </w:r>
    </w:p>
    <w:p w:rsidR="00C12AD5" w:rsidRDefault="00C12AD5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Муталимова  П.А.</w:t>
      </w:r>
    </w:p>
    <w:p w:rsidR="00C12AD5" w:rsidRDefault="00C12A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2AD5" w:rsidRDefault="00C12A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12AD5" w:rsidRDefault="00C12AD5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</w:p>
    <w:p w:rsidR="00C12AD5" w:rsidRDefault="00C12A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«Организация образовательного процесса через использование современных технологий в условиях реализации федеральных государственных образовательных стандартов»</w:t>
      </w:r>
      <w:r>
        <w:rPr>
          <w:rStyle w:val="Strong"/>
          <w:rFonts w:ascii="Times New Roman" w:hAnsi="Times New Roman" w:cs="Times New Roman"/>
          <w:sz w:val="28"/>
          <w:szCs w:val="28"/>
        </w:rPr>
        <w:br/>
      </w:r>
    </w:p>
    <w:p w:rsidR="00C12AD5" w:rsidRDefault="00C12AD5">
      <w:pPr>
        <w:rPr>
          <w:rStyle w:val="Strong"/>
          <w:rFonts w:ascii="Times New Roman" w:hAnsi="Times New Roman" w:cs="Times New Roman"/>
          <w:color w:val="984806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984806"/>
          <w:sz w:val="28"/>
          <w:szCs w:val="28"/>
        </w:rPr>
        <w:t xml:space="preserve">Цель: </w:t>
      </w:r>
    </w:p>
    <w:p w:rsidR="00C12AD5" w:rsidRDefault="00C12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качества образования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учителя. </w:t>
      </w:r>
    </w:p>
    <w:p w:rsidR="00C12AD5" w:rsidRDefault="00C12AD5">
      <w:pPr>
        <w:rPr>
          <w:rStyle w:val="Strong"/>
          <w:rFonts w:ascii="Times New Roman" w:hAnsi="Times New Roman" w:cs="Times New Roman"/>
          <w:color w:val="984806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984806"/>
          <w:sz w:val="28"/>
          <w:szCs w:val="28"/>
        </w:rPr>
        <w:t xml:space="preserve">Задачи: </w:t>
      </w:r>
    </w:p>
    <w:p w:rsidR="00C12AD5" w:rsidRDefault="00C12AD5">
      <w:pPr>
        <w:numPr>
          <w:ilvl w:val="0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граней образовательного процесса на основе внедрения в практику работы учителей химии, биологии, географии, истории, обществознания продуктивных педагогических технологий, ориентированных на развитие личности ребенка: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деятельностного подхода в образовательном процессе;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оптимизация урока за счет использования новых педагогических технологий (ИКТ, проблемного обучения, метода проектов и др.) в образовательном процессе;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одаренными детьми;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активизация работы по организации проектно-исследовательской деятельности обучающихся и педагогов;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государственной (итоговой) аттестации учащихся 9, 11-х классов; содействие профессиональному самоопределению школьников. </w:t>
      </w:r>
    </w:p>
    <w:p w:rsidR="00C12AD5" w:rsidRDefault="00C12AD5">
      <w:pPr>
        <w:numPr>
          <w:ilvl w:val="0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и разработка профильных и элективных курсов на уровне программ. </w:t>
      </w:r>
    </w:p>
    <w:p w:rsidR="00C12AD5" w:rsidRDefault="00C12AD5">
      <w:pPr>
        <w:numPr>
          <w:ilvl w:val="0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и распространение положительного педагогического опыта творчески работающих учителей: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инфор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мационной компетентности педагогов;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банка данных по проблемам современного урока, формам и методам обучения. </w:t>
      </w:r>
    </w:p>
    <w:p w:rsidR="00C12AD5" w:rsidRDefault="00C12AD5">
      <w:pPr>
        <w:numPr>
          <w:ilvl w:val="0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Информационно-методическое обеспечение образовательного процесса и системы повышения квалификации педагогического коллектива: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программ; </w:t>
      </w:r>
    </w:p>
    <w:p w:rsidR="00C12AD5" w:rsidRDefault="00C12AD5">
      <w:pPr>
        <w:numPr>
          <w:ilvl w:val="1"/>
          <w:numId w:val="1"/>
        </w:numPr>
        <w:spacing w:before="100"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сопровождение учителя на этапе освоения федеральных государственных образовательных стандартов второго поколения.</w:t>
      </w:r>
    </w:p>
    <w:p w:rsidR="00C12AD5" w:rsidRDefault="00C12AD5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научно-методическое сопровождение педагогов, участвующих в реализации программы эксперимента «Построение модели профильного обучения на основе индивидуальных учебных планов».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Тематика заседаний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методического объединения учителей биологии, химии, географии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на 2019-2020 учебный год</w:t>
      </w:r>
    </w:p>
    <w:p w:rsidR="00C12AD5" w:rsidRDefault="00C12AD5">
      <w:pPr>
        <w:rPr>
          <w:rFonts w:ascii="Times New Roman" w:hAnsi="Times New Roman" w:cs="Times New Roman"/>
        </w:rPr>
      </w:pP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Сентябрь</w:t>
      </w:r>
    </w:p>
    <w:p w:rsidR="00C12AD5" w:rsidRDefault="00C12AD5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</w:rPr>
        <w:t>Рассматриваемые вопросы.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1.Разработка, согласование и утверждение плана работы МО на 2019-2020 учебный год.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 результатов ЕГЭ и ГИА за 2019-2020 учебный год.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3.Рассмотрение и утверждение рабочих программ по предметам и календарно-тематического планирования.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4.Программно-методическое обеспечение изучения биологии, химии и географии в 2018-2019 </w:t>
      </w:r>
      <w:bookmarkStart w:id="0" w:name="_GoBack"/>
      <w:bookmarkEnd w:id="0"/>
      <w:r>
        <w:rPr>
          <w:rFonts w:ascii="Times New Roman" w:hAnsi="Times New Roman" w:cs="Times New Roman"/>
        </w:rPr>
        <w:t>учебном году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5.Порядок ведения рабочих тетрадей по предметам, тетрадей для контрольных и практических работ.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6.Подготовка учащихся к контрольному тестированию по географии.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7.Подготовка материалов к школьной олимпиаде.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Работа с молодыми специалистами.</w:t>
      </w: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Октябрь-Ноябрь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1.Обсуждение результатов входящего контроля по географии.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2.Организация и проведение школьного тура олимпиады по экологии, географии, биологии и химии в 7-11 классах.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3.Работа с одаренными детьми, подготовка к районной олимпиаде(обмен опытом работы).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4.Работа с неуспевающими учащимися, мотивация учебной деятельности.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5.Организация работы учителя по теме самообразования.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6.Успеваемость учащихся в 1 четверти.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7.Подготовка школьного участка к зимнему периоду.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Работа с молодыми специалистами.</w:t>
      </w: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Декабрь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1.Анализ итогов школьного тура олимпиады по предметам.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2.Участие в районном туре олимпиады.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3.Организация индивидуальной работы с неуспевающими учащимися.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4.Подведение предварительных итогов успеваемости за 1 полугодие в 10-11 классах.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5.Выступление учителей биологии по темам самообразования «Наиболее сложные вопросы преподавания биологии ».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Анализ работы молодого специалиста за I полугодие.</w:t>
      </w: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Январь-Февраль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1.Анализ итогов успеваемости по предметам за 2 четверть.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2.Семинар «»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3.Выступление учителей географии по теме самообразования  «Современный подход в преподавании географии в 10-11 классе».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4.Работа с неуспевающими учащимися, мотивационная учебная деятельность.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Обмен опытом с молодыми специалистами.</w:t>
      </w: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Март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1.Организация подготовки выпускников к сдаче ЕГЭ-2019 и ГИА-2019 по географии, биологии и химии.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2.Разработка плана проведения предметной недели естественных наук.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3.Подготовка и привлечение учащихся к проведению предметной недели.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4.Выступление учителей химии по темам самообразования.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5.Подготовка учащихся к выступлению на районной научной конференции по географии.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Анализ работы молодого специалиста за III четверть.</w:t>
      </w: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Апрель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1.Проведение предметной недели естественных наук.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2.Организация работы на школьном участке (подготовка клумб к посадке растений).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3.Подготовка учащихся к сдаче выпускных экзаменов в форме ЕГЭ и ГИА.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4.Обзор нормативно-правовой  документации ЕГЭ-2019 -2020 и ГИА-2019.-2020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5.Работа учителя с учащимися с низким уровнем мотивации и трудностями в обучении.</w:t>
      </w:r>
    </w:p>
    <w:p w:rsidR="00C12AD5" w:rsidRDefault="00C12AD5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Май-Июнь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1.Анализ результатов итоговой аттестации в 9-х, 11-х классах.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 работы ШМО в 2019-2020 учебном году.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3.Работа на школьном участке (высадка рассады, прополка).</w:t>
      </w:r>
    </w:p>
    <w:p w:rsidR="00C12AD5" w:rsidRDefault="00C12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4.Формирование методической копилки педагогами.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2AD5" w:rsidRDefault="00C12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2AD5" w:rsidRDefault="00C12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2AD5" w:rsidRDefault="00C12AD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12AD5" w:rsidRDefault="00C12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ШМО учителей биологии, химии, географии</w:t>
      </w:r>
    </w:p>
    <w:p w:rsidR="00C12AD5" w:rsidRDefault="00C12A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2019-2020 учебный год</w:t>
      </w:r>
    </w:p>
    <w:tbl>
      <w:tblPr>
        <w:tblW w:w="9615" w:type="dxa"/>
        <w:tblInd w:w="-106" w:type="dxa"/>
        <w:tblLayout w:type="fixed"/>
        <w:tblLook w:val="0000"/>
      </w:tblPr>
      <w:tblGrid>
        <w:gridCol w:w="1171"/>
        <w:gridCol w:w="4455"/>
        <w:gridCol w:w="2040"/>
        <w:gridCol w:w="1905"/>
      </w:tblGrid>
      <w:tr w:rsidR="00C12AD5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C12AD5" w:rsidRDefault="00C12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C12AD5">
        <w:tblPrEx>
          <w:tblCellSpacing w:w="-5" w:type="nil"/>
        </w:tblPrEx>
        <w:trPr>
          <w:trHeight w:val="1380"/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Составление, рассмотрение, утверждение рабочих программ по предметам и календарно-тематического планирования.</w:t>
            </w:r>
          </w:p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утверждение плана работы МО на 2018-2019 учебный год.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входящего контроля по географии.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научно-исследовательской работы с учащимися.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зимнего участка к зимнему периоду (работа в цветнике).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по теме самообразования.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тура олимпиады по экологии, географии, биологии и химии в 7-11 классах.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детьми, подготовка к районной олимпиаде (обмен опытом работы).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345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учащимися, мотивация учебной деятельности.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21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учителей МО по теме </w:t>
            </w:r>
          </w:p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работы за 1 четверть»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rHeight w:val="24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туре олимпиады.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24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районной научно-практической конференции по биологии и химии.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 и химии</w:t>
            </w:r>
          </w:p>
        </w:tc>
      </w:tr>
      <w:tr w:rsidR="00C12AD5">
        <w:tblPrEx>
          <w:tblCellSpacing w:w="-5" w:type="nil"/>
        </w:tblPrEx>
        <w:trPr>
          <w:trHeight w:val="315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неуспевающими учащимися.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 учителей биологии по темам самообразования.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C12AD5">
        <w:tblPrEx>
          <w:tblCellSpacing w:w="-5" w:type="nil"/>
        </w:tblPrEx>
        <w:trPr>
          <w:trHeight w:val="315"/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 научных сообществ.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24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 в 7-11 классах за 1 полугодие.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учителей ШМО по теме «Итоги 1 полугодия 2018-2019»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rHeight w:val="33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«».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21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географии по теме самообразования.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C12AD5">
        <w:tblPrEx>
          <w:tblCellSpacing w:w="-5" w:type="nil"/>
        </w:tblPrEx>
        <w:trPr>
          <w:trHeight w:val="525"/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учащимися, мотивационная учебная деятельность.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30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учащихся к сдаче ЕГЭ по географии, биологии и химии.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предметной недели естественных наук.</w:t>
            </w:r>
          </w:p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привлечение учащихся к проведению предметной недели.</w:t>
            </w:r>
          </w:p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57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химии по темам самообразования.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</w:tr>
      <w:tr w:rsidR="00C12AD5">
        <w:tblPrEx>
          <w:tblCellSpacing w:w="-5" w:type="nil"/>
        </w:tblPrEx>
        <w:trPr>
          <w:trHeight w:val="24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естественных наук.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ученической конференции.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школьном участке (подготовка клумб к посадке растений).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на заседании ШМО экзаменационного материала для проведения государственной аттестации учащихся.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69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сдаче выпускных экзаменов в форме ЕГЭ и ГИА (пробная работа).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rHeight w:val="135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 «Итоги учебного года. Перспективное планирование на следующий учебный год»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школьном участке (высадка рассады, прополка).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C12AD5">
        <w:tblPrEx>
          <w:tblCellSpacing w:w="-5" w:type="nil"/>
        </w:tblPrEx>
        <w:trPr>
          <w:trHeight w:val="405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ШМО в 2018-2019 учебном году.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rHeight w:val="135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(итоговой) аттестации учащихся.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12AD5">
        <w:tblPrEx>
          <w:tblCellSpacing w:w="-5" w:type="nil"/>
        </w:tblPrEx>
        <w:trPr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государственной (итоговой) аттестации.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Рук-ль ШМО</w:t>
            </w:r>
          </w:p>
        </w:tc>
      </w:tr>
      <w:tr w:rsidR="00C12AD5">
        <w:tblPrEx>
          <w:tblCellSpacing w:w="-5" w:type="nil"/>
        </w:tblPrEx>
        <w:trPr>
          <w:trHeight w:val="330"/>
          <w:tblCellSpacing w:w="-5" w:type="nil"/>
        </w:trPr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 школьном участке.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AD5" w:rsidRDefault="00C1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</w:tbl>
    <w:p w:rsidR="00C12AD5" w:rsidRDefault="00C12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                       Муталимова П.А</w:t>
      </w:r>
    </w:p>
    <w:sectPr w:rsidR="00C12AD5" w:rsidSect="00C12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AD5" w:rsidRDefault="00C12AD5" w:rsidP="00C12AD5">
      <w:r>
        <w:separator/>
      </w:r>
    </w:p>
  </w:endnote>
  <w:endnote w:type="continuationSeparator" w:id="0">
    <w:p w:rsidR="00C12AD5" w:rsidRDefault="00C12AD5" w:rsidP="00C12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5" w:rsidRDefault="00C12AD5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5" w:rsidRDefault="00C12AD5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5" w:rsidRDefault="00C12AD5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AD5" w:rsidRDefault="00C12AD5" w:rsidP="00C12AD5">
      <w:r>
        <w:separator/>
      </w:r>
    </w:p>
  </w:footnote>
  <w:footnote w:type="continuationSeparator" w:id="0">
    <w:p w:rsidR="00C12AD5" w:rsidRDefault="00C12AD5" w:rsidP="00C12A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5" w:rsidRDefault="00C12AD5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5" w:rsidRDefault="00C12AD5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AD5" w:rsidRDefault="00C12AD5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A5D03"/>
    <w:multiLevelType w:val="multilevel"/>
    <w:tmpl w:val="7B531C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AD5"/>
    <w:rsid w:val="00C1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AD5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AD5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AD5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2AD5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12AD5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AD5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AD5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ascii="Arial" w:hAnsi="Arial" w:cs="Arial"/>
      <w:b/>
      <w:bCs/>
      <w:lang w:val="ru-RU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